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54E391F9" w14:textId="27453A8C" w:rsidR="005C7400" w:rsidRDefault="005C7400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C7400">
        <w:rPr>
          <w:rFonts w:asciiTheme="minorHAnsi" w:hAnsiTheme="minorHAnsi"/>
          <w:sz w:val="22"/>
          <w:szCs w:val="22"/>
        </w:rPr>
        <w:t xml:space="preserve">MUDr. Vladimírem </w:t>
      </w:r>
      <w:proofErr w:type="spellStart"/>
      <w:r w:rsidRPr="005C7400">
        <w:rPr>
          <w:rFonts w:asciiTheme="minorHAnsi" w:hAnsiTheme="minorHAnsi"/>
          <w:sz w:val="22"/>
          <w:szCs w:val="22"/>
        </w:rPr>
        <w:t>Ningerem</w:t>
      </w:r>
      <w:proofErr w:type="spellEnd"/>
      <w:r w:rsidRPr="005C7400">
        <w:rPr>
          <w:rFonts w:asciiTheme="minorHAnsi" w:hAnsiTheme="minorHAnsi"/>
          <w:sz w:val="22"/>
          <w:szCs w:val="22"/>
        </w:rPr>
        <w:t xml:space="preserve">, Ph.D., MBA, členem představenstva </w:t>
      </w:r>
    </w:p>
    <w:p w14:paraId="18CCFC78" w14:textId="7B610AAD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A1366">
      <w:pPr>
        <w:spacing w:line="276" w:lineRule="auto"/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8A1366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7007FB14" w14:textId="54C13057" w:rsidR="005A0A2C" w:rsidRDefault="005A0A2C" w:rsidP="005A0A2C">
      <w:pPr>
        <w:keepNext/>
        <w:widowControl w:val="0"/>
        <w:suppressAutoHyphens/>
        <w:spacing w:after="60" w:line="240" w:lineRule="atLeast"/>
        <w:rPr>
          <w:rFonts w:asciiTheme="minorHAnsi" w:hAnsiTheme="minorHAnsi"/>
          <w:sz w:val="22"/>
          <w:szCs w:val="22"/>
        </w:rPr>
      </w:pPr>
      <w:r w:rsidRPr="005A0A2C">
        <w:rPr>
          <w:rFonts w:asciiTheme="minorHAnsi" w:hAnsiTheme="minorHAnsi"/>
          <w:sz w:val="22"/>
          <w:szCs w:val="22"/>
        </w:rPr>
        <w:lastRenderedPageBreak/>
        <w:t>Podkladem pro uzavření této smlouvy je nabídka vybraného dodavatele předložená v rámci veřejné zakázky malého rozsahu s názvem „</w:t>
      </w:r>
      <w:r w:rsidR="00EA1EC7" w:rsidRPr="00EA1EC7">
        <w:rPr>
          <w:rFonts w:asciiTheme="minorHAnsi" w:hAnsiTheme="minorHAnsi"/>
          <w:b/>
          <w:bCs/>
          <w:sz w:val="22"/>
          <w:szCs w:val="22"/>
        </w:rPr>
        <w:t>Flexibilní laryngoskop do Pardubické nemocnice</w:t>
      </w:r>
      <w:r w:rsidRPr="005A0A2C">
        <w:rPr>
          <w:rFonts w:asciiTheme="minorHAnsi" w:hAnsiTheme="minorHAnsi"/>
          <w:sz w:val="22"/>
          <w:szCs w:val="22"/>
        </w:rPr>
        <w:t>“ (dále jen „veřejná zakázka“).</w:t>
      </w:r>
    </w:p>
    <w:p w14:paraId="6F2D8568" w14:textId="77777777" w:rsidR="005A0A2C" w:rsidRDefault="005A0A2C" w:rsidP="006A36A9">
      <w:pPr>
        <w:keepNext/>
        <w:widowControl w:val="0"/>
        <w:suppressAutoHyphens/>
        <w:spacing w:after="60"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4637EE9E" w14:textId="7D382D44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11224868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, počet </w:t>
      </w:r>
      <w:proofErr w:type="gramStart"/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</w:t>
      </w:r>
      <w:proofErr w:type="gramEnd"/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</w:t>
      </w:r>
      <w:proofErr w:type="gramStart"/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</w:t>
      </w:r>
      <w:proofErr w:type="gramEnd"/>
      <w:r w:rsidR="00DD5CB6" w:rsidRPr="00CA40FA">
        <w:rPr>
          <w:rFonts w:ascii="Calibri" w:hAnsi="Calibri" w:cs="Calibri"/>
          <w:sz w:val="22"/>
          <w:szCs w:val="22"/>
        </w:rPr>
        <w:t xml:space="preserve">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69F88019" w14:textId="77777777" w:rsidR="00DB6B3B" w:rsidRPr="00E264D2" w:rsidRDefault="00DB6B3B" w:rsidP="00DB6B3B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120791355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jedná o zdravotnický prostředek, splňuje požadavky stanovené právními předpisy vztahujícími se ke zdravotnickým prostředkům, především zákona 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č.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375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/202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Sb., o zdravotnických prostředcích </w:t>
      </w:r>
      <w:r w:rsidRPr="00E850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diagnostických zdravotnických prostředcích in vitro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 znění pozdějších předpisů (dále jen „zákon o zdravotnických prostředcích“)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1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1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11495B" w14:textId="0836CAFC" w:rsidR="00631DD6" w:rsidRPr="00E264D2" w:rsidRDefault="00631DD6" w:rsidP="00631DD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2" w:name="_Hlk120609865"/>
      <w:bookmarkStart w:id="3" w:name="_Hlk85372959"/>
      <w:r w:rsidRPr="00836966">
        <w:rPr>
          <w:rFonts w:ascii="Calibri" w:hAnsi="Calibri" w:cs="Calibri"/>
          <w:sz w:val="22"/>
          <w:szCs w:val="22"/>
        </w:rPr>
        <w:t>provedení instruktáže obsluhy včetně vyhotovení zápisu</w:t>
      </w:r>
      <w:r>
        <w:rPr>
          <w:rFonts w:ascii="Calibri" w:hAnsi="Calibri" w:cs="Calibri"/>
          <w:sz w:val="22"/>
          <w:szCs w:val="22"/>
        </w:rPr>
        <w:t xml:space="preserve"> v souladu se </w:t>
      </w:r>
      <w:r w:rsidRPr="00DC3099">
        <w:rPr>
          <w:rFonts w:ascii="Calibri" w:hAnsi="Calibri" w:cs="Calibri"/>
          <w:sz w:val="22"/>
          <w:szCs w:val="22"/>
        </w:rPr>
        <w:t>zákon</w:t>
      </w:r>
      <w:r>
        <w:rPr>
          <w:rFonts w:ascii="Calibri" w:hAnsi="Calibri" w:cs="Calibri"/>
          <w:sz w:val="22"/>
          <w:szCs w:val="22"/>
        </w:rPr>
        <w:t>em</w:t>
      </w:r>
      <w:r w:rsidRPr="00DC3099">
        <w:rPr>
          <w:rFonts w:ascii="Calibri" w:hAnsi="Calibri" w:cs="Calibri"/>
          <w:sz w:val="22"/>
          <w:szCs w:val="22"/>
        </w:rPr>
        <w:t xml:space="preserve"> o zdravotnických prostředcích</w:t>
      </w:r>
      <w:r w:rsidR="004F4558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2"/>
      <w:r w:rsidR="004F4558" w:rsidRPr="004F4558">
        <w:rPr>
          <w:rFonts w:ascii="Calibri" w:hAnsi="Calibri" w:cs="Calibri"/>
          <w:sz w:val="22"/>
          <w:szCs w:val="22"/>
        </w:rPr>
        <w:t>U zboží, které není zdravotnickým prostředkem, provedení školení/seznámení s obsluhou dle pokynu výrobce.</w:t>
      </w:r>
    </w:p>
    <w:p w14:paraId="4FEC127A" w14:textId="77777777" w:rsidR="004F4558" w:rsidRPr="004F4558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4F4558">
        <w:rPr>
          <w:rFonts w:ascii="Calibri" w:hAnsi="Calibri" w:cs="Calibri"/>
          <w:sz w:val="22"/>
          <w:szCs w:val="22"/>
        </w:rPr>
        <w:t>,</w:t>
      </w:r>
    </w:p>
    <w:p w14:paraId="036AF769" w14:textId="3515E05A" w:rsidR="00836966" w:rsidRPr="00AB34FE" w:rsidRDefault="003303C7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ekologická </w:t>
      </w:r>
      <w:r w:rsidR="004F4558" w:rsidRPr="004F4558">
        <w:rPr>
          <w:rFonts w:ascii="Calibri" w:hAnsi="Calibri" w:cs="Calibri"/>
          <w:sz w:val="22"/>
          <w:szCs w:val="22"/>
        </w:rPr>
        <w:t>likvidac</w:t>
      </w:r>
      <w:r>
        <w:rPr>
          <w:rFonts w:ascii="Calibri" w:hAnsi="Calibri" w:cs="Calibri"/>
          <w:sz w:val="22"/>
          <w:szCs w:val="22"/>
        </w:rPr>
        <w:t>e</w:t>
      </w:r>
      <w:r w:rsidR="004F4558" w:rsidRPr="004F4558">
        <w:rPr>
          <w:rFonts w:ascii="Calibri" w:hAnsi="Calibri" w:cs="Calibri"/>
          <w:sz w:val="22"/>
          <w:szCs w:val="22"/>
        </w:rPr>
        <w:t xml:space="preserve"> obalů a odpadu souvisejícího s dodávkou předmětu plnění.</w:t>
      </w:r>
      <w:bookmarkEnd w:id="3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35B677F" w14:textId="22FBD747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47EB40FC" w14:textId="44D515AE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prokazující oprávnění k údržbě </w:t>
      </w:r>
      <w:r w:rsidR="004F4558"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dodaného zdravotnického prostředku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jde-li o zdravotnický prostředek,</w:t>
      </w:r>
    </w:p>
    <w:p w14:paraId="7E262BEB" w14:textId="3DAD7BD8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jedná-li se o zdravotnický prostředek,</w:t>
      </w:r>
    </w:p>
    <w:p w14:paraId="7AA213B7" w14:textId="46D89632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 w:rsidRP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A06FB" w:rsidRP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jedná-li se o zdravotnický prostředek,</w:t>
      </w:r>
    </w:p>
    <w:p w14:paraId="249E42B6" w14:textId="0F0603B7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7994F954" w14:textId="607ACD47" w:rsidR="00E91E0D" w:rsidRDefault="001D676D" w:rsidP="00B05E84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jedná-li se o zdravotnický prostředek,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 anebo deklarac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konformity. Prodávající dále vydá samostatné prohlášení o třídě zboží (I,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zboží jako například provozní testy, čištění, dezinfekce atp.). Tento provozní deník musí opatřit razítkem a podpisem zástupce prodávajícího.</w:t>
      </w:r>
      <w:bookmarkEnd w:id="0"/>
    </w:p>
    <w:p w14:paraId="11A30245" w14:textId="3359379B" w:rsidR="006A36A9" w:rsidRPr="004F4558" w:rsidRDefault="006A36A9" w:rsidP="004F4558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603C5EFA" w14:textId="7F5FCBAE" w:rsidR="005F2C27" w:rsidRPr="00E33192" w:rsidRDefault="00B05E84" w:rsidP="00E33192">
      <w:pPr>
        <w:pStyle w:val="Odstavecseseznamem"/>
        <w:numPr>
          <w:ilvl w:val="0"/>
          <w:numId w:val="16"/>
        </w:numPr>
        <w:spacing w:after="60"/>
        <w:ind w:left="709" w:hanging="425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359AD780" w14:textId="77777777" w:rsidR="006A36A9" w:rsidRPr="0010599D" w:rsidRDefault="006A36A9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Pr="00546F8A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2E6FFFDF" w14:textId="77777777" w:rsidR="00EA1EC7" w:rsidRPr="004C0813" w:rsidRDefault="00EA1EC7" w:rsidP="00EA1EC7">
      <w:pPr>
        <w:spacing w:after="120" w:line="276" w:lineRule="auto"/>
        <w:ind w:firstLine="1134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4" w:name="_Hlk168876351"/>
      <w:bookmarkStart w:id="5" w:name="_Hlk67640438"/>
      <w:r w:rsidRPr="001B07B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Pr="009B4410">
        <w:rPr>
          <w:rFonts w:ascii="Calibri" w:hAnsi="Calibri" w:cs="Calibri"/>
          <w:color w:val="000000"/>
          <w:sz w:val="22"/>
          <w:szCs w:val="22"/>
        </w:rPr>
        <w:t>(</w:t>
      </w:r>
      <w:r w:rsidRPr="002F7BC1">
        <w:rPr>
          <w:rFonts w:ascii="Calibri" w:hAnsi="Calibri" w:cs="Calibri"/>
          <w:color w:val="000000"/>
          <w:sz w:val="22"/>
          <w:szCs w:val="22"/>
        </w:rPr>
        <w:t xml:space="preserve">oddělení </w:t>
      </w:r>
      <w:r>
        <w:rPr>
          <w:rFonts w:ascii="Calibri" w:hAnsi="Calibri" w:cs="Calibri"/>
          <w:color w:val="000000"/>
          <w:sz w:val="22"/>
          <w:szCs w:val="22"/>
        </w:rPr>
        <w:t>ORL</w:t>
      </w:r>
      <w:r w:rsidRPr="009B4410">
        <w:rPr>
          <w:rFonts w:ascii="Calibri" w:hAnsi="Calibri" w:cs="Calibri"/>
          <w:color w:val="000000"/>
          <w:sz w:val="22"/>
          <w:szCs w:val="22"/>
        </w:rPr>
        <w:t>)</w:t>
      </w:r>
      <w:bookmarkEnd w:id="4"/>
    </w:p>
    <w:bookmarkEnd w:id="5"/>
    <w:p w14:paraId="7BA498A7" w14:textId="2E340B28" w:rsidR="00210B9C" w:rsidRPr="0002232D" w:rsidRDefault="00210B9C" w:rsidP="00210B9C">
      <w:pPr>
        <w:pStyle w:val="Odstavecseseznamem"/>
        <w:numPr>
          <w:ilvl w:val="0"/>
          <w:numId w:val="33"/>
        </w:numPr>
        <w:spacing w:after="60"/>
        <w:ind w:left="709" w:hanging="425"/>
        <w:contextualSpacing w:val="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0223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plnění je nejpozději do </w:t>
      </w:r>
      <w:r w:rsidR="00EA1EC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</w:t>
      </w:r>
      <w:r w:rsidRPr="000223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nabytí účinnosti kupní smlouvy.</w:t>
      </w:r>
    </w:p>
    <w:p w14:paraId="009514E7" w14:textId="77777777" w:rsidR="006343A3" w:rsidRPr="006343A3" w:rsidRDefault="006343A3" w:rsidP="00410078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426"/>
          <w:tab w:val="left" w:pos="709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 dodávky zboží, a to nejpozději 5 dnů před realizací dodávky. Kontaktní osoba je uvedena v čl. V. odst. 3 této smlouvy.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143F8EF" w:rsidR="006A36A9" w:rsidRPr="00410078" w:rsidRDefault="0093122C" w:rsidP="00410078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410078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6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6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3E42889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7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7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se považuje za uhrazenou okamžikem odepsání fakturované částky z účtu kupujícího a jejím </w:t>
      </w: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6480DF3D" w14:textId="77777777" w:rsidR="00410078" w:rsidRPr="00FF08B4" w:rsidRDefault="00410078" w:rsidP="00410078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26B44F37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8068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0103EF5B" w14:textId="1D4B7629" w:rsidR="0072754B" w:rsidRDefault="0072754B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rámci záručního servisu bude prodávající pravidelně provádět bezplatně prohlídku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dodaného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údržbu (dále též „servisní kontrola“) dle doporučení výrobce nebo po určitém počtu provedených pracovních cyklů na daném zboží, tak aby byla po celou dobu záruky zajištěna plná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funkčnost zboží. Servisní kontrola dle tohoto odstavce zahrnuje servisní úkony, zejména technickou podporu, práci a cestu technika, servisní prohlídky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veškeré další úkony související s </w:t>
      </w:r>
      <w:proofErr w:type="spellStart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pováděnou</w:t>
      </w:r>
      <w:proofErr w:type="spellEnd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servisní kontrolou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30BE7B7C" w14:textId="002E18EF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servisní prohlídky a zkoušky všech součástí 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příslušenství dle doporučení výrobce,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473D111A" w14:textId="40BE66EC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027316DB" w14:textId="08DE5C53" w:rsidR="008B2EF4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kontroly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="00FC07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33D517E3" w14:textId="79186DEB" w:rsidR="006A36A9" w:rsidRPr="00D452B2" w:rsidRDefault="008B2EF4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 zdravotnických prostředků,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8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8"/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53E2574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9182750" w14:textId="10A75886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části.</w:t>
      </w:r>
    </w:p>
    <w:p w14:paraId="3880DA47" w14:textId="04AE985F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jejího oznámení, považuje se za neodstranitelnou a v téže lhůtě je prodávající povinen vadné zboží nebo jeho část vyměnit. Pokud dojde k výměně zboží nebo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FA73098" w:rsidR="006A36A9" w:rsidRPr="006838F7" w:rsidRDefault="006A36A9" w:rsidP="006838F7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21882785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4B4A264A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  DPH</w:t>
      </w:r>
      <w:proofErr w:type="gramEnd"/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31A57498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ED8D3C9" w14:textId="77777777" w:rsidR="00942E1E" w:rsidRPr="00143B0F" w:rsidRDefault="00942E1E" w:rsidP="00942E1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6EF258B0" w14:textId="4F418E1A" w:rsidR="00A473D9" w:rsidRPr="006C060F" w:rsidRDefault="00942E1E" w:rsidP="00942E1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  <w:r w:rsidR="00A473D9"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5908634D" w:rsidR="006A36A9" w:rsidRPr="007D4423" w:rsidRDefault="00210B9C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A473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A473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9" w:name="_Hlk20150622"/>
    </w:p>
    <w:p w14:paraId="4833A409" w14:textId="4B214EA6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9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0859B6F4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10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74CC6F3A" w14:textId="77777777" w:rsidR="006C060F" w:rsidRPr="007D66FE" w:rsidRDefault="006C060F" w:rsidP="0049702A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55B4C41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9D6818B" w14:textId="45349B38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E339880" w14:textId="77777777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8053D44" w:rsidR="00710649" w:rsidRPr="00B90A24" w:rsidRDefault="005C7400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5C7400">
        <w:rPr>
          <w:rFonts w:ascii="Calibri" w:hAnsi="Calibri" w:cs="Calibri"/>
          <w:bCs/>
          <w:sz w:val="22"/>
          <w:szCs w:val="22"/>
        </w:rPr>
        <w:t>MUDr. Vladimír Ninger, Ph.D., MBA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1274C5D" w14:textId="6D73FE1D" w:rsidR="0049702A" w:rsidRPr="009224EA" w:rsidRDefault="005C7400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člen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10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5508C2EC" w14:textId="2814CD26" w:rsidR="007C7851" w:rsidRDefault="007C7851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6EDD81E" w14:textId="77777777" w:rsidR="005C7400" w:rsidRDefault="005C7400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10EE65F" w14:textId="73A8B3DC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29084C6" w14:textId="0372E911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58A7B19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2457AEC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D6C267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C4BCEDC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1E3425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F206FE2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CBDBCBC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609D844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E8DCAE6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9C238E0" w14:textId="77777777" w:rsidR="00D75CBA" w:rsidRDefault="00D75C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1518214D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lastRenderedPageBreak/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3F1DFB20" w14:textId="77777777" w:rsidR="00EA1EAD" w:rsidRPr="007D66FE" w:rsidRDefault="00EA1EAD" w:rsidP="00EA1EAD">
      <w:pPr>
        <w:rPr>
          <w:rFonts w:ascii="Calibri" w:hAnsi="Calibri" w:cs="Calibri"/>
        </w:rPr>
      </w:pPr>
    </w:p>
    <w:tbl>
      <w:tblPr>
        <w:tblW w:w="93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9"/>
        <w:gridCol w:w="705"/>
        <w:gridCol w:w="2405"/>
        <w:gridCol w:w="2268"/>
      </w:tblGrid>
      <w:tr w:rsidR="00EA1EAD" w:rsidRPr="00B715FE" w14:paraId="1E38EDA5" w14:textId="77777777" w:rsidTr="005B4B94">
        <w:trPr>
          <w:trHeight w:val="624"/>
          <w:tblHeader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7CDB8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BF68C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8DFF26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227AC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Cena v Kč bez DPH</w:t>
            </w:r>
          </w:p>
        </w:tc>
      </w:tr>
      <w:tr w:rsidR="00EA1EAD" w:rsidRPr="00B715FE" w14:paraId="599ED7FE" w14:textId="77777777" w:rsidTr="005B4B94">
        <w:trPr>
          <w:trHeight w:val="839"/>
          <w:tblHeader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8599" w14:textId="77777777" w:rsidR="00EA1EAD" w:rsidRPr="002557A7" w:rsidRDefault="00EA1EAD" w:rsidP="005B4B9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E9F8" w14:textId="77777777" w:rsidR="00EA1EAD" w:rsidRPr="00B90A24" w:rsidRDefault="00EA1EAD" w:rsidP="005B4B9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8917" w14:textId="77777777" w:rsidR="00EA1EAD" w:rsidRPr="00B90A24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0175" w14:textId="77777777" w:rsidR="00EA1EAD" w:rsidRPr="00B90A24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DD11A18" w14:textId="77777777" w:rsidR="00EA1EAD" w:rsidRDefault="00EA1EAD" w:rsidP="00EA1EAD">
      <w:pPr>
        <w:rPr>
          <w:rFonts w:ascii="Calibri" w:hAnsi="Calibri" w:cs="Calibri"/>
        </w:rPr>
      </w:pPr>
    </w:p>
    <w:tbl>
      <w:tblPr>
        <w:tblStyle w:val="Mkatabulky"/>
        <w:tblW w:w="9356" w:type="dxa"/>
        <w:tblInd w:w="137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EA1EAD" w14:paraId="059FB5F2" w14:textId="77777777" w:rsidTr="005B4B94">
        <w:tc>
          <w:tcPr>
            <w:tcW w:w="7088" w:type="dxa"/>
          </w:tcPr>
          <w:p w14:paraId="19E2D700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Cena celkem v Kč bez DPH</w:t>
            </w:r>
          </w:p>
        </w:tc>
        <w:tc>
          <w:tcPr>
            <w:tcW w:w="2268" w:type="dxa"/>
          </w:tcPr>
          <w:p w14:paraId="2E5ECB08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  <w:tr w:rsidR="00EA1EAD" w14:paraId="6C274353" w14:textId="77777777" w:rsidTr="005B4B94">
        <w:tc>
          <w:tcPr>
            <w:tcW w:w="7088" w:type="dxa"/>
          </w:tcPr>
          <w:p w14:paraId="5B13B5B1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2268" w:type="dxa"/>
          </w:tcPr>
          <w:p w14:paraId="1E2E2AA8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  <w:tr w:rsidR="00EA1EAD" w14:paraId="339DB0F4" w14:textId="77777777" w:rsidTr="005B4B9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AE41" w14:textId="77777777" w:rsidR="00EA1EAD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Výše DPH v 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B0F" w14:textId="77777777" w:rsidR="00EA1EAD" w:rsidRDefault="00EA1EAD" w:rsidP="005B4B94">
            <w:pPr>
              <w:jc w:val="right"/>
              <w:rPr>
                <w:rFonts w:ascii="Calibri" w:hAnsi="Calibri" w:cs="Calibri"/>
                <w:lang w:eastAsia="en-US"/>
              </w:rPr>
            </w:pPr>
          </w:p>
        </w:tc>
      </w:tr>
      <w:tr w:rsidR="00EA1EAD" w14:paraId="22B9CA98" w14:textId="77777777" w:rsidTr="005B4B94">
        <w:tc>
          <w:tcPr>
            <w:tcW w:w="7088" w:type="dxa"/>
          </w:tcPr>
          <w:p w14:paraId="439A4473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Kč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  <w:tc>
          <w:tcPr>
            <w:tcW w:w="2268" w:type="dxa"/>
          </w:tcPr>
          <w:p w14:paraId="1040D861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4C9DFC64" w14:textId="77777777" w:rsidR="00EA1EAD" w:rsidRDefault="00EA1EAD" w:rsidP="00EA1EAD">
      <w:pPr>
        <w:rPr>
          <w:rFonts w:ascii="Calibri" w:hAnsi="Calibri" w:cs="Calibri"/>
        </w:rPr>
      </w:pPr>
    </w:p>
    <w:p w14:paraId="63E853A1" w14:textId="77777777" w:rsidR="00EA1EAD" w:rsidRDefault="00EA1EAD" w:rsidP="00EA1EAD">
      <w:pPr>
        <w:rPr>
          <w:rFonts w:ascii="Calibri" w:hAnsi="Calibri" w:cs="Calibri"/>
        </w:rPr>
      </w:pPr>
    </w:p>
    <w:p w14:paraId="62DD3661" w14:textId="77777777" w:rsidR="00EA1EAD" w:rsidRDefault="00EA1EAD" w:rsidP="00EA1EAD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34F1F5BA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3E5E2B">
        <w:pPr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50D79"/>
    <w:rsid w:val="00060B76"/>
    <w:rsid w:val="00061C01"/>
    <w:rsid w:val="00066801"/>
    <w:rsid w:val="000832FE"/>
    <w:rsid w:val="00085A62"/>
    <w:rsid w:val="000926F5"/>
    <w:rsid w:val="00096B62"/>
    <w:rsid w:val="000A0FF3"/>
    <w:rsid w:val="000A211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1470"/>
    <w:rsid w:val="001B7AC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4F35"/>
    <w:rsid w:val="00252024"/>
    <w:rsid w:val="00254B7C"/>
    <w:rsid w:val="00261A23"/>
    <w:rsid w:val="00262002"/>
    <w:rsid w:val="002655C2"/>
    <w:rsid w:val="00276440"/>
    <w:rsid w:val="00280692"/>
    <w:rsid w:val="00284731"/>
    <w:rsid w:val="002960DC"/>
    <w:rsid w:val="00297C25"/>
    <w:rsid w:val="002A227A"/>
    <w:rsid w:val="002B0B8B"/>
    <w:rsid w:val="002B5142"/>
    <w:rsid w:val="002B6DB3"/>
    <w:rsid w:val="002C28AC"/>
    <w:rsid w:val="002D217B"/>
    <w:rsid w:val="002E0B61"/>
    <w:rsid w:val="002F3B5F"/>
    <w:rsid w:val="002F7EC2"/>
    <w:rsid w:val="00307BDD"/>
    <w:rsid w:val="00307E66"/>
    <w:rsid w:val="00321D13"/>
    <w:rsid w:val="00327CB8"/>
    <w:rsid w:val="003303C7"/>
    <w:rsid w:val="00332F46"/>
    <w:rsid w:val="003344D5"/>
    <w:rsid w:val="0034495D"/>
    <w:rsid w:val="003506AD"/>
    <w:rsid w:val="00352EB7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19D8"/>
    <w:rsid w:val="003E51E9"/>
    <w:rsid w:val="003E5E2B"/>
    <w:rsid w:val="00410078"/>
    <w:rsid w:val="0042036A"/>
    <w:rsid w:val="00424E16"/>
    <w:rsid w:val="0043610E"/>
    <w:rsid w:val="00452618"/>
    <w:rsid w:val="0045677B"/>
    <w:rsid w:val="00462F7D"/>
    <w:rsid w:val="00465A4E"/>
    <w:rsid w:val="00476EFC"/>
    <w:rsid w:val="00480E42"/>
    <w:rsid w:val="0048124E"/>
    <w:rsid w:val="00484ABA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4E6C30"/>
    <w:rsid w:val="004F4558"/>
    <w:rsid w:val="00503326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83DF3"/>
    <w:rsid w:val="0059677A"/>
    <w:rsid w:val="005A0A2C"/>
    <w:rsid w:val="005A28DC"/>
    <w:rsid w:val="005B2ECF"/>
    <w:rsid w:val="005B61DA"/>
    <w:rsid w:val="005B6B38"/>
    <w:rsid w:val="005C580D"/>
    <w:rsid w:val="005C7400"/>
    <w:rsid w:val="005D13F6"/>
    <w:rsid w:val="005D2191"/>
    <w:rsid w:val="005F253D"/>
    <w:rsid w:val="005F2C27"/>
    <w:rsid w:val="005F63AD"/>
    <w:rsid w:val="00614135"/>
    <w:rsid w:val="00620B58"/>
    <w:rsid w:val="006213CE"/>
    <w:rsid w:val="00631DD6"/>
    <w:rsid w:val="006343A3"/>
    <w:rsid w:val="00636C16"/>
    <w:rsid w:val="006468D6"/>
    <w:rsid w:val="00646D37"/>
    <w:rsid w:val="00653EF1"/>
    <w:rsid w:val="00671EF3"/>
    <w:rsid w:val="006722C9"/>
    <w:rsid w:val="006778B7"/>
    <w:rsid w:val="006838F7"/>
    <w:rsid w:val="006A26D2"/>
    <w:rsid w:val="006A2832"/>
    <w:rsid w:val="006A36A9"/>
    <w:rsid w:val="006A4564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0967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97CCF"/>
    <w:rsid w:val="007A1E7C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06835"/>
    <w:rsid w:val="008246AA"/>
    <w:rsid w:val="008265C6"/>
    <w:rsid w:val="00833B34"/>
    <w:rsid w:val="00835A5F"/>
    <w:rsid w:val="00836966"/>
    <w:rsid w:val="008532F8"/>
    <w:rsid w:val="00853497"/>
    <w:rsid w:val="00873BD7"/>
    <w:rsid w:val="00883659"/>
    <w:rsid w:val="008908D8"/>
    <w:rsid w:val="00893E5E"/>
    <w:rsid w:val="00896738"/>
    <w:rsid w:val="008A1366"/>
    <w:rsid w:val="008A728C"/>
    <w:rsid w:val="008B2EF4"/>
    <w:rsid w:val="008C432C"/>
    <w:rsid w:val="008C4478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24EA"/>
    <w:rsid w:val="009250B6"/>
    <w:rsid w:val="0093122C"/>
    <w:rsid w:val="00933F72"/>
    <w:rsid w:val="00942E1E"/>
    <w:rsid w:val="00947296"/>
    <w:rsid w:val="00950EAA"/>
    <w:rsid w:val="00964F90"/>
    <w:rsid w:val="00965C19"/>
    <w:rsid w:val="00967458"/>
    <w:rsid w:val="00970101"/>
    <w:rsid w:val="00977058"/>
    <w:rsid w:val="009824E9"/>
    <w:rsid w:val="00985AB3"/>
    <w:rsid w:val="00994D9E"/>
    <w:rsid w:val="009A06F7"/>
    <w:rsid w:val="009A5AB0"/>
    <w:rsid w:val="009B0C36"/>
    <w:rsid w:val="009B2C43"/>
    <w:rsid w:val="009B5F4B"/>
    <w:rsid w:val="009B7886"/>
    <w:rsid w:val="009C4212"/>
    <w:rsid w:val="009C6E46"/>
    <w:rsid w:val="009F25F6"/>
    <w:rsid w:val="009F261B"/>
    <w:rsid w:val="009F5116"/>
    <w:rsid w:val="009F5487"/>
    <w:rsid w:val="009F7957"/>
    <w:rsid w:val="00A17BE4"/>
    <w:rsid w:val="00A24426"/>
    <w:rsid w:val="00A257CB"/>
    <w:rsid w:val="00A26B22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C1C6A"/>
    <w:rsid w:val="00AC5A17"/>
    <w:rsid w:val="00AD7489"/>
    <w:rsid w:val="00AE2B3E"/>
    <w:rsid w:val="00AE415E"/>
    <w:rsid w:val="00AE4716"/>
    <w:rsid w:val="00AF3670"/>
    <w:rsid w:val="00AF367E"/>
    <w:rsid w:val="00AF4D81"/>
    <w:rsid w:val="00B05E84"/>
    <w:rsid w:val="00B071C9"/>
    <w:rsid w:val="00B17BE7"/>
    <w:rsid w:val="00B20557"/>
    <w:rsid w:val="00B232E6"/>
    <w:rsid w:val="00B2509B"/>
    <w:rsid w:val="00B4354F"/>
    <w:rsid w:val="00B5365F"/>
    <w:rsid w:val="00B60934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32D8"/>
    <w:rsid w:val="00BA75DD"/>
    <w:rsid w:val="00BA7FE6"/>
    <w:rsid w:val="00BB0790"/>
    <w:rsid w:val="00BC14FD"/>
    <w:rsid w:val="00BC1903"/>
    <w:rsid w:val="00BC2C54"/>
    <w:rsid w:val="00BC3994"/>
    <w:rsid w:val="00BC5379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5BD2"/>
    <w:rsid w:val="00C34021"/>
    <w:rsid w:val="00C3497F"/>
    <w:rsid w:val="00C52477"/>
    <w:rsid w:val="00C728AA"/>
    <w:rsid w:val="00C777AE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E62B0"/>
    <w:rsid w:val="00CF0773"/>
    <w:rsid w:val="00CF7C67"/>
    <w:rsid w:val="00D02334"/>
    <w:rsid w:val="00D13172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45BD"/>
    <w:rsid w:val="00D65889"/>
    <w:rsid w:val="00D71975"/>
    <w:rsid w:val="00D7201F"/>
    <w:rsid w:val="00D72EBB"/>
    <w:rsid w:val="00D73A4C"/>
    <w:rsid w:val="00D73D97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64D2"/>
    <w:rsid w:val="00E33192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A1EAD"/>
    <w:rsid w:val="00EA1EC7"/>
    <w:rsid w:val="00EA3F0F"/>
    <w:rsid w:val="00EB723F"/>
    <w:rsid w:val="00EC006E"/>
    <w:rsid w:val="00EC7723"/>
    <w:rsid w:val="00ED14FA"/>
    <w:rsid w:val="00ED280F"/>
    <w:rsid w:val="00ED5FFF"/>
    <w:rsid w:val="00ED7BC3"/>
    <w:rsid w:val="00EE0BA2"/>
    <w:rsid w:val="00EE1B8E"/>
    <w:rsid w:val="00EE51FC"/>
    <w:rsid w:val="00EE5324"/>
    <w:rsid w:val="00EF3F4F"/>
    <w:rsid w:val="00F1156D"/>
    <w:rsid w:val="00F13FDC"/>
    <w:rsid w:val="00F20240"/>
    <w:rsid w:val="00F259CA"/>
    <w:rsid w:val="00F310B2"/>
    <w:rsid w:val="00F33D60"/>
    <w:rsid w:val="00F430C4"/>
    <w:rsid w:val="00F514C1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0798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EA1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10</Pages>
  <Words>3203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97</cp:revision>
  <cp:lastPrinted>2018-10-01T07:59:00Z</cp:lastPrinted>
  <dcterms:created xsi:type="dcterms:W3CDTF">2022-02-09T13:00:00Z</dcterms:created>
  <dcterms:modified xsi:type="dcterms:W3CDTF">2025-09-15T20:54:00Z</dcterms:modified>
</cp:coreProperties>
</file>